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uloPortada"/>
      </w:pPr>
      <w:commentRangeStart w:id="0"/>
      <w:r>
        <w:t xml:space="preserve">Informe mensual de actividades</w:t>
      </w:r>
      <w:commentRangeEnd w:id="0"/>
      <w:r>
        <w:commentReference w:id="0"/>
      </w:r>
    </w:p>
    <w:p>
      <w:pPr>
        <w:pStyle w:val="SubtituloPortada"/>
      </w:pPr>
      <w:r>
        <w:t xml:space="preserve">Contrato N.º XXX-2026-000 · Período: octubre 2026</w:t>
      </w:r>
    </w:p>
    <w:tbl>
      <w:tblPr>
        <w:tblW w:type="dxa" w:w="9462"/>
        <w:tblBorders>
          <w:top w:val="nil" w:color="FFFFFF" w:sz="0"/>
          <w:left w:val="nil" w:color="FFFFFF" w:sz="0"/>
          <w:bottom w:val="nil" w:color="FFFFFF" w:sz="0"/>
          <w:right w:val="nil" w:color="FFFFFF" w:sz="0"/>
          <w:insideH w:val="single" w:color="auto" w:sz="4"/>
          <w:insideV w:val="single" w:color="auto" w:sz="4"/>
        </w:tblBorders>
        <w:tblLayout w:type="fixed"/>
      </w:tblPr>
      <w:tblGrid>
        <w:gridCol w:w="2381"/>
        <w:gridCol w:w="7081"/>
      </w:tblGrid>
      <w:tr>
        <w:tc>
          <w:tcPr>
            <w:tcW w:type="dxa" w:w="23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0"/>
              <w:bottom w:type="dxa" w:w="113"/>
              <w:right w:type="dxa" w:w="113"/>
            </w:tcMar>
            <w:vAlign w:val="center"/>
          </w:tcPr>
          <w:p>
            <w:pPr>
              <w:pStyle w:val="RotuloPortada"/>
            </w:pPr>
            <w:r>
              <w:t xml:space="preserve">PREPARADO PARA</w:t>
            </w:r>
          </w:p>
        </w:tc>
        <w:tc>
          <w:tcPr>
            <w:tcW w:type="dxa" w:w="70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113"/>
              <w:bottom w:type="dxa" w:w="113"/>
              <w:right w:type="dxa" w:w="0"/>
            </w:tcMar>
            <w:vAlign w:val="center"/>
          </w:tcPr>
          <w:p>
            <w:pPr>
              <w:pStyle w:val="ValorPortada"/>
            </w:pPr>
            <w:r>
              <w:t xml:space="preserve">Empresa contratante · Gerencia de Operaciones</w:t>
            </w:r>
          </w:p>
        </w:tc>
      </w:tr>
      <w:tr>
        <w:tc>
          <w:tcPr>
            <w:tcW w:type="dxa" w:w="23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0"/>
              <w:bottom w:type="dxa" w:w="113"/>
              <w:right w:type="dxa" w:w="113"/>
            </w:tcMar>
            <w:vAlign w:val="center"/>
          </w:tcPr>
          <w:p>
            <w:pPr>
              <w:pStyle w:val="RotuloPortada"/>
            </w:pPr>
            <w:r>
              <w:t xml:space="preserve">PREPARADO POR</w:t>
            </w:r>
          </w:p>
        </w:tc>
        <w:tc>
          <w:tcPr>
            <w:tcW w:type="dxa" w:w="70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113"/>
              <w:bottom w:type="dxa" w:w="113"/>
              <w:right w:type="dxa" w:w="0"/>
            </w:tcMar>
            <w:vAlign w:val="center"/>
          </w:tcPr>
          <w:p>
            <w:pPr>
              <w:pStyle w:val="ValorPortada"/>
            </w:pPr>
            <w:r>
              <w:t xml:space="preserve">MERIDIAN Supply &amp; Services, C.A.</w:t>
            </w:r>
          </w:p>
        </w:tc>
      </w:tr>
      <w:tr>
        <w:tc>
          <w:tcPr>
            <w:tcW w:type="dxa" w:w="23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0"/>
              <w:bottom w:type="dxa" w:w="113"/>
              <w:right w:type="dxa" w:w="113"/>
            </w:tcMar>
            <w:vAlign w:val="center"/>
          </w:tcPr>
          <w:p>
            <w:pPr>
              <w:pStyle w:val="RotuloPortada"/>
            </w:pPr>
            <w:r>
              <w:t xml:space="preserve">FECHA</w:t>
            </w:r>
          </w:p>
        </w:tc>
        <w:tc>
          <w:tcPr>
            <w:tcW w:type="dxa" w:w="70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113"/>
              <w:bottom w:type="dxa" w:w="113"/>
              <w:right w:type="dxa" w:w="0"/>
            </w:tcMar>
            <w:vAlign w:val="center"/>
          </w:tcPr>
          <w:p>
            <w:pPr>
              <w:pStyle w:val="ValorPortada"/>
            </w:pPr>
            <w:r>
              <w:t xml:space="preserve">1 de noviembre de 2026</w:t>
            </w:r>
          </w:p>
        </w:tc>
      </w:tr>
      <w:tr>
        <w:tc>
          <w:tcPr>
            <w:tcW w:type="dxa" w:w="23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0"/>
              <w:bottom w:type="dxa" w:w="113"/>
              <w:right w:type="dxa" w:w="113"/>
            </w:tcMar>
            <w:vAlign w:val="center"/>
          </w:tcPr>
          <w:p>
            <w:pPr>
              <w:pStyle w:val="RotuloPortada"/>
            </w:pPr>
            <w:r>
              <w:t xml:space="preserve">REVISIÓN</w:t>
            </w:r>
          </w:p>
        </w:tc>
        <w:tc>
          <w:tcPr>
            <w:tcW w:type="dxa" w:w="7081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113"/>
              <w:left w:type="dxa" w:w="113"/>
              <w:bottom w:type="dxa" w:w="113"/>
              <w:right w:type="dxa" w:w="0"/>
            </w:tcMar>
            <w:vAlign w:val="center"/>
          </w:tcPr>
          <w:p>
            <w:pPr>
              <w:pStyle w:val="ValorPortada"/>
            </w:pPr>
            <w:r>
              <w:t xml:space="preserve">Rev. 0 · Emisión para revisión del contratante</w:t>
            </w:r>
          </w:p>
        </w:tc>
      </w:tr>
    </w:tbl>
    <w:p>
      <w:r>
        <w:br w:type="page"/>
      </w:r>
    </w:p>
    <w:p>
      <w:pPr>
        <w:pStyle w:val="TituloFrontal"/>
      </w:pPr>
      <w:r>
        <w:t xml:space="preserve">Control de revisiones</w:t>
      </w:r>
    </w:p>
    <w:tbl>
      <w:tblPr>
        <w:tblStyle w:val="TablaMERIDIAN"/>
        <w:tblW w:type="dxa" w:w="9462"/>
        <w:tblBorders>
          <w:top w:val="nil" w:color="FFFFFF" w:sz="0"/>
          <w:left w:val="nil" w:color="FFFFFF" w:sz="0"/>
          <w:bottom w:val="single" w:color="D3D9E0" w:sz="4"/>
          <w:right w:val="nil" w:color="FFFFFF" w:sz="0"/>
          <w:insideH w:val="single" w:color="auto" w:sz="4"/>
          <w:insideV w:val="single" w:color="auto" w:sz="4"/>
        </w:tblBorders>
        <w:tblLayout w:type="fixed"/>
      </w:tblPr>
      <w:tblGrid>
        <w:gridCol w:w="794"/>
        <w:gridCol w:w="1474"/>
        <w:gridCol w:w="3969"/>
        <w:gridCol w:w="1587"/>
        <w:gridCol w:w="1638"/>
      </w:tblGrid>
      <w:tr>
        <w:trPr>
          <w:tblHeader/>
        </w:trPr>
        <w:tc>
          <w:tcPr>
            <w:tcW w:type="dxa" w:w="794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Rev.</w:t>
            </w:r>
          </w:p>
        </w:tc>
        <w:tc>
          <w:tcPr>
            <w:tcW w:type="dxa" w:w="1474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Fecha</w:t>
            </w:r>
          </w:p>
        </w:tc>
        <w:tc>
          <w:tcPr>
            <w:tcW w:type="dxa" w:w="3969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Descripción</w:t>
            </w:r>
          </w:p>
        </w:tc>
        <w:tc>
          <w:tcPr>
            <w:tcW w:type="dxa" w:w="1587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Elaboró</w:t>
            </w:r>
          </w:p>
        </w:tc>
        <w:tc>
          <w:tcPr>
            <w:tcW w:type="dxa" w:w="1638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Aprobó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0</w:t>
            </w:r>
          </w:p>
        </w:tc>
        <w:tc>
          <w:tcPr>
            <w:tcW w:type="dxa" w:w="1474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01/11/2026</w:t>
            </w:r>
          </w:p>
        </w:tc>
        <w:tc>
          <w:tcPr>
            <w:tcW w:type="dxa" w:w="3969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Emisión inicial para revisión del contratante</w:t>
            </w:r>
          </w:p>
        </w:tc>
        <w:tc>
          <w:tcPr>
            <w:tcW w:type="dxa" w:w="1587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N. Apellido</w:t>
            </w:r>
          </w:p>
        </w:tc>
        <w:tc>
          <w:tcPr>
            <w:tcW w:type="dxa" w:w="1638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N. Apellido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1</w:t>
            </w:r>
          </w:p>
        </w:tc>
        <w:tc>
          <w:tcPr>
            <w:tcW w:type="dxa" w:w="1474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—</w:t>
            </w:r>
          </w:p>
        </w:tc>
        <w:tc>
          <w:tcPr>
            <w:tcW w:type="dxa" w:w="3969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Pendiente</w:t>
            </w:r>
          </w:p>
        </w:tc>
        <w:tc>
          <w:tcPr>
            <w:tcW w:type="dxa" w:w="1587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—</w:t>
            </w:r>
          </w:p>
        </w:tc>
        <w:tc>
          <w:tcPr>
            <w:tcW w:type="dxa" w:w="1638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—</w:t>
            </w:r>
          </w:p>
        </w:tc>
      </w:tr>
    </w:tbl>
    <w:p>
      <w:pPr>
        <w:pStyle w:val="Leyenda"/>
      </w:pPr>
      <w:r>
        <w:t xml:space="preserve">Tabla 1. Historial de revisiones del documento.</w:t>
      </w:r>
    </w:p>
    <w:p>
      <w:pPr>
        <w:pStyle w:val="TituloFrontal"/>
      </w:pPr>
      <w:r>
        <w:t xml:space="preserve">Índice</w:t>
      </w:r>
    </w:p>
    <w:sdt>
      <w:sdtPr>
        <w:alias w:val="Índice"/>
      </w:sdtPr>
      <w:sdtContent>
        <w:p>
          <w:pPr>
            <w:pStyle w:val="TOC1"/>
            <w:tabs>
              <w:tab w:val="clear" w:pos="9026"/>
              <w:tab w:val="right" w:pos="9025" w:leader="dot"/>
            </w:tabs>
          </w:pPr>
          <w:r>
            <w:fldChar w:fldCharType="begin" w:dirty="false"/>
            <w:instrText xml:space="preserve">TOC \h \o "1-2"</w:instrText>
            <w:fldChar w:fldCharType="separate"/>
          </w:r>
          <w:r>
            <w:t xml:space="default">1. Objeto y alcance</w:t>
            <w:tab/>
            <w:t xml:space="default">3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1.1 Objeto</w:t>
            <w:tab/>
            <w:t xml:space="default">3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1.2 Alcance</w:t>
            <w:tab/>
            <w:t xml:space="default">3</w:t>
          </w:r>
        </w:p>
        <w:p>
          <w:pPr>
            <w:pStyle w:val="TOC1"/>
            <w:tabs>
              <w:tab w:val="clear" w:pos="9026"/>
              <w:tab w:val="right" w:pos="9025" w:leader="dot"/>
            </w:tabs>
          </w:pPr>
          <w:r>
            <w:t xml:space="default">2. Ejecución del período</w:t>
            <w:tab/>
            <w:t xml:space="default">3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2.1 Actividades ejecutadas</w:t>
            <w:tab/>
            <w:t xml:space="default">3</w:t>
          </w:r>
        </w:p>
        <w:p>
          <w:pPr>
            <w:pStyle w:val="TOC2"/>
            <w:tabs>
              <w:tab w:val="clear" w:pos="8786"/>
              <w:tab w:val="right" w:pos="9025" w:leader="dot"/>
            </w:tabs>
          </w:pPr>
          <w:r>
            <w:t xml:space="default">2.2 Seguridad, higiene y ambiente</w:t>
            <w:tab/>
            <w:t xml:space="default">3</w:t>
          </w:r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1. Objeto y alcance</w:t>
      </w:r>
    </w:p>
    <w:p>
      <w:r>
        <w:t xml:space="preserve">El presente informe resume las actividades ejecutadas por MERIDIAN Supply &amp; Services, C.A. durante el período indicado, en el marco del contrato de la referencia, y constituye el soporte de la valuación mensual presentada al contratante.</w:t>
      </w:r>
    </w:p>
    <w:p>
      <w:pPr>
        <w:pStyle w:val="Heading2"/>
      </w:pPr>
      <w:r>
        <w:t xml:space="preserve">1.1 Objeto</w:t>
      </w:r>
    </w:p>
    <w:p>
      <w:r>
        <w:t xml:space="preserve">Documentar el avance físico de las partidas contratadas, las desviaciones respecto al plan de trabajo aprobado y las acciones correctivas acordadas con la supervisión del contratante.</w:t>
      </w:r>
    </w:p>
    <w:p>
      <w:pPr>
        <w:pStyle w:val="Heading2"/>
      </w:pPr>
      <w:r>
        <w:t xml:space="preserve">1.2 Alcance</w:t>
      </w:r>
    </w:p>
    <w:p>
      <w:r>
        <w:t xml:space="preserve">Aplica a los trabajos de campo, taller y oficina técnica ejecutados entre el 1 y el 31 de octubre de 2026 en las instalaciones designadas por el contratante.</w:t>
      </w:r>
    </w:p>
    <w:p>
      <w:pPr>
        <w:pStyle w:val="Heading1"/>
      </w:pPr>
      <w:r>
        <w:t xml:space="preserve">2. Ejecución del período</w:t>
      </w:r>
    </w:p>
    <w:p>
      <w:r>
        <w:t xml:space="preserve">Durante el período se ejecutaron las actividades previstas en el plan de trabajo aprobado por el contratante. La tabla resume el avance y el estado de cada partida al cierre del mes.</w:t>
      </w:r>
    </w:p>
    <w:p>
      <w:pPr>
        <w:pStyle w:val="Heading2"/>
      </w:pPr>
      <w:r>
        <w:t xml:space="preserve">2.1 Actividades ejecutadas</w:t>
      </w:r>
    </w:p>
    <w:tbl>
      <w:tblPr>
        <w:tblStyle w:val="TablaMERIDIAN"/>
        <w:tblW w:type="dxa" w:w="9462"/>
        <w:tblBorders>
          <w:top w:val="nil" w:color="FFFFFF" w:sz="0"/>
          <w:left w:val="nil" w:color="FFFFFF" w:sz="0"/>
          <w:bottom w:val="single" w:color="D3D9E0" w:sz="4"/>
          <w:right w:val="nil" w:color="FFFFFF" w:sz="0"/>
          <w:insideH w:val="single" w:color="auto" w:sz="4"/>
          <w:insideV w:val="single" w:color="auto" w:sz="4"/>
        </w:tblBorders>
        <w:tblLayout w:type="fixed"/>
      </w:tblPr>
      <w:tblGrid>
        <w:gridCol w:w="3742"/>
        <w:gridCol w:w="2608"/>
        <w:gridCol w:w="1247"/>
        <w:gridCol w:w="1865"/>
      </w:tblGrid>
      <w:tr>
        <w:trPr>
          <w:tblHeader/>
        </w:trPr>
        <w:tc>
          <w:tcPr>
            <w:tcW w:type="dxa" w:w="3742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Actividad</w:t>
            </w:r>
          </w:p>
        </w:tc>
        <w:tc>
          <w:tcPr>
            <w:tcW w:type="dxa" w:w="2608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Responsable</w:t>
            </w:r>
          </w:p>
        </w:tc>
        <w:tc>
          <w:tcPr>
            <w:tcW w:type="dxa" w:w="1247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righ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Avance</w:t>
            </w:r>
          </w:p>
        </w:tc>
        <w:tc>
          <w:tcPr>
            <w:tcW w:type="dxa" w:w="1865"/>
            <w:tcBorders>
              <w:top w:val="nil" w:color="FFFFFF" w:sz="0"/>
              <w:left w:val="nil" w:color="FFFFFF" w:sz="0"/>
              <w:bottom w:val="single" w:color="D3D9E0" w:sz="4"/>
              <w:right w:val="nil" w:color="FFFFFF" w:sz="0"/>
            </w:tcBorders>
            <w:shd w:fill="EEF3F8" w:color="auto" w:val="clear"/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Fonts w:ascii="Barlow SemiBold" w:cs="Barlow SemiBold" w:eastAsia="Barlow SemiBold" w:hAnsi="Barlow SemiBold"/>
                <w:b/>
                <w:bCs/>
                <w:color w:val="0B2545"/>
              </w:rPr>
              <w:t xml:space="preserve">Estado</w:t>
            </w:r>
          </w:p>
        </w:tc>
      </w:tr>
      <w:tr>
        <w:trPr>
          <w:cantSplit/>
        </w:trPr>
        <w:tc>
          <w:tcPr>
            <w:tcW w:type="dxa" w:w="3742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Inspección y diagnóstico de equipos</w:t>
            </w:r>
          </w:p>
        </w:tc>
        <w:tc>
          <w:tcPr>
            <w:tcW w:type="dxa" w:w="2608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Supervisión de campo</w:t>
            </w:r>
          </w:p>
        </w:tc>
        <w:tc>
          <w:tcPr>
            <w:tcW w:type="dxa" w:w="1247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right"/>
            </w:pPr>
            <w:r>
              <w:t xml:space="preserve">100 %</w:t>
            </w:r>
          </w:p>
        </w:tc>
        <w:tc>
          <w:tcPr>
            <w:tcW w:type="dxa" w:w="1865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Style w:val="EstadoConforme"/>
              </w:rPr>
              <w:t xml:space="preserve">CONFORME</w:t>
            </w:r>
          </w:p>
        </w:tc>
      </w:tr>
      <w:tr>
        <w:trPr>
          <w:cantSplit/>
        </w:trPr>
        <w:tc>
          <w:tcPr>
            <w:tcW w:type="dxa" w:w="3742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Mantenimiento programado</w:t>
            </w:r>
          </w:p>
        </w:tc>
        <w:tc>
          <w:tcPr>
            <w:tcW w:type="dxa" w:w="2608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Cuadrilla 2</w:t>
            </w:r>
          </w:p>
        </w:tc>
        <w:tc>
          <w:tcPr>
            <w:tcW w:type="dxa" w:w="1247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right"/>
            </w:pPr>
            <w:r>
              <w:t xml:space="preserve">85 %</w:t>
            </w:r>
          </w:p>
        </w:tc>
        <w:tc>
          <w:tcPr>
            <w:tcW w:type="dxa" w:w="1865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Style w:val="EstadoObservacion"/>
              </w:rPr>
              <w:t xml:space="preserve">OBSERVACIÓN</w:t>
            </w:r>
          </w:p>
        </w:tc>
      </w:tr>
      <w:tr>
        <w:trPr>
          <w:cantSplit/>
        </w:trPr>
        <w:tc>
          <w:tcPr>
            <w:tcW w:type="dxa" w:w="3742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Actualización de permisos de trabajo</w:t>
            </w:r>
          </w:p>
        </w:tc>
        <w:tc>
          <w:tcPr>
            <w:tcW w:type="dxa" w:w="2608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HSE</w:t>
            </w:r>
          </w:p>
        </w:tc>
        <w:tc>
          <w:tcPr>
            <w:tcW w:type="dxa" w:w="1247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right"/>
            </w:pPr>
            <w:r>
              <w:t xml:space="preserve">100 %</w:t>
            </w:r>
          </w:p>
        </w:tc>
        <w:tc>
          <w:tcPr>
            <w:tcW w:type="dxa" w:w="1865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Style w:val="EstadoConforme"/>
              </w:rPr>
              <w:t xml:space="preserve">CONFORME</w:t>
            </w:r>
          </w:p>
        </w:tc>
      </w:tr>
      <w:tr>
        <w:trPr>
          <w:cantSplit/>
        </w:trPr>
        <w:tc>
          <w:tcPr>
            <w:tcW w:type="dxa" w:w="3742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Entrega de informe de cierre</w:t>
            </w:r>
          </w:p>
        </w:tc>
        <w:tc>
          <w:tcPr>
            <w:tcW w:type="dxa" w:w="2608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t xml:space="preserve">Coordinación técnica</w:t>
            </w:r>
          </w:p>
        </w:tc>
        <w:tc>
          <w:tcPr>
            <w:tcW w:type="dxa" w:w="1247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right"/>
            </w:pPr>
            <w:r>
              <w:t xml:space="preserve">60 %</w:t>
            </w:r>
          </w:p>
        </w:tc>
        <w:tc>
          <w:tcPr>
            <w:tcW w:type="dxa" w:w="1865"/>
            <w:tcBorders>
              <w:top w:val="single" w:color="D3D9E0" w:sz="4"/>
              <w:left w:val="nil" w:color="FFFFFF" w:sz="0"/>
              <w:bottom w:val="single" w:color="D3D9E0" w:sz="4"/>
              <w:right w:val="nil" w:color="FFFFFF" w:sz="0"/>
            </w:tcBorders>
            <w:tcMar>
              <w:top w:type="dxa" w:w="85"/>
              <w:left w:type="dxa" w:w="113"/>
              <w:bottom w:type="dxa" w:w="85"/>
              <w:right w:type="dxa" w:w="113"/>
            </w:tcMar>
            <w:vAlign w:val="center"/>
          </w:tcPr>
          <w:p>
            <w:pPr>
              <w:pStyle w:val="TextoTabla"/>
              <w:jc w:val="left"/>
            </w:pPr>
            <w:r>
              <w:rPr>
                <w:rStyle w:val="EstadoNoConforme"/>
              </w:rPr>
              <w:t xml:space="preserve">NO CONFORME</w:t>
            </w:r>
          </w:p>
        </w:tc>
      </w:tr>
    </w:tbl>
    <w:p>
      <w:pPr>
        <w:pStyle w:val="Leyenda"/>
      </w:pPr>
      <w:commentRangeStart w:id="1"/>
      <w:r>
        <w:t xml:space="preserve">Tabla 2. Avance de actividades al cierre del período.</w:t>
      </w:r>
      <w:commentRangeEnd w:id="1"/>
      <w:r>
        <w:commentReference w:id="1"/>
      </w:r>
    </w:p>
    <w:p>
      <w:pPr>
        <w:pStyle w:val="NotaRotulo"/>
      </w:pPr>
      <w:r>
        <w:t xml:space="preserve">NOTA</w:t>
      </w:r>
    </w:p>
    <w:p>
      <w:pPr>
        <w:pStyle w:val="Nota"/>
      </w:pPr>
      <w:r>
        <w:t xml:space="preserve">La partida 4 se reprograma para la primera semana del mes siguiente, de mutuo acuerdo con la inspección del contratante.</w:t>
      </w:r>
    </w:p>
    <w:p>
      <w:pPr>
        <w:pStyle w:val="Heading2"/>
      </w:pPr>
      <w:r>
        <w:t xml:space="preserve">2.2 Seguridad, higiene y ambiente</w:t>
      </w:r>
    </w:p>
    <w:p>
      <w:r>
        <w:t xml:space="preserve">Se realizaron las charlas diarias de seguridad y las inspecciones de equipos de protección personal previstas en el plan HSE del contrato. No se registraron incidentes con tiempo perdido durante el período.</w:t>
      </w:r>
    </w:p>
    <w:sectPr>
      <w:headerReference w:type="default" r:id="rId7"/>
      <w:footerReference w:type="default" r:id="rId8"/>
      <w:pgSz w:w="12240" w:h="15840" w:orient="portrait"/>
      <w:pgMar w:top="1701" w:right="1020" w:bottom="1417" w:left="1757" w:header="680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MER" w:author="Plantilla MERIDIAN" w:date="2026-11-01T00:00:00.000Z">
    <w:p>
      <w:r>
        <w:t xml:space="preserve">CÓMO USAR ESTA PLANTILLA. Todo el contenido es de ejemplo. Título del documento y código (MER-INF-2026-001 · Rev. 0) están en la cabecera: doble clic sobre ella para editarlos; el código se repite en el pie.</w:t>
      </w:r>
    </w:p>
    <w:p>
      <w:r>
        <w:t xml:space="preserve">Estilos de la galería: Título 1 (capítulos, numeración manual «1. », «2. »), Título 2 (subcapítulos «1.1 »), Normal (texto), Nota y Nota - rótulo (recuadro ámbar), Leyenda (pie de tabla o figura), Estado conforme / Estado observación / Estado no conforme (palabras de estado en tablas) y el estilo de tabla «Tabla MERIDIAN» (pestaña Diseño de tabla).</w:t>
      </w:r>
    </w:p>
    <w:p>
      <w:r>
        <w:t xml:space="preserve">Índice: tras editar, clic derecho sobre el índice › Actualizar campos › Actualizar toda la tabla (o F9).</w:t>
      </w:r>
    </w:p>
    <w:p>
      <w:r>
        <w:t xml:space="preserve">Fuentes: Barlow y Barlow Semi Condensed, incrustadas en el archivo. Respaldo si no se muestran: Arial (texto) y Arial Narrow (títulos).</w:t>
      </w:r>
    </w:p>
  </w:comment>
  <w:comment w:id="1" w:initials="MER" w:author="Plantilla MERIDIAN" w:date="2026-11-01T00:00:00.000Z">
    <w:p>
      <w:r>
        <w:t xml:space="preserve">Columna Estado: use siempre la palabra (CONFORME / OBSERVACIÓN / NO CONFORME) con su estilo de carácter; nunca solo color. Las cifras van alineadas a la derecha.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">
    <w:family w:val="auto"/>
    <w:pitch w:val="variable"/>
    <w:sig w:usb0="E0002AFF" w:usb1="C000247B" w:usb2="00000009" w:usb3="00000000" w:csb0="000001FF" w:csb1="00000000"/>
    <w:embedRegular r:id="rId1" w:fontKey="{543FD658-0911-B5A3-5DBB-673454EECF20}"/>
  </w:font>
  <w:font w:name="Barlow SemiBold">
    <w:family w:val="auto"/>
    <w:pitch w:val="variable"/>
    <w:sig w:usb0="E0002AFF" w:usb1="C000247B" w:usb2="00000009" w:usb3="00000000" w:csb0="000001FF" w:csb1="00000000"/>
    <w:embedRegular r:id="rId2" w:fontKey="{FBB6A916-F104-9E98-F78C-E37E659D5EF3}"/>
  </w:font>
  <w:font w:name="Barlow Semi Condensed SemiBold">
    <w:family w:val="auto"/>
    <w:pitch w:val="variable"/>
    <w:sig w:usb0="E0002AFF" w:usb1="C000247B" w:usb2="00000009" w:usb3="00000000" w:csb0="000001FF" w:csb1="00000000"/>
    <w:embedRegular r:id="rId3" w:fontKey="{BB889573-2C46-190B-1C51-7A554ADC6D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Meridian"/>
      <w:pBdr>
        <w:top w:val="single" w:color="D3D9E0" w:sz="4" w:space="6"/>
      </w:pBdr>
      <w:tabs>
        <w:tab w:val="right" w:pos="9462"/>
      </w:tabs>
    </w:pPr>
    <w:r>
      <w:t xml:space="preserve">MER-INF-2026-001 · Rev. 0 · Uso interno</w:t>
    </w:r>
    <w:r>
      <w:t xml:space="preserve">	Página </w:t>
    </w:r>
    <w:r>
      <w:fldChar w:fldCharType="begin"/>
      <w:instrText xml:space="preserve">PAGE</w:instrText>
      <w:fldChar w:fldCharType="separate"/>
      <w:fldChar w:fldCharType="end"/>
    </w:r>
    <w:r>
      <w:t xml:space="preserve"> de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60" w:lineRule="exact"/>
      <w:ind w:left="-1077"/>
      <w:jc w:val="right"/>
    </w:pPr>
    <w:r>
      <w:drawing>
        <wp:anchor distT="0" distB="0" distL="0" distR="0" simplePos="0" allowOverlap="1" behindDoc="1" locked="1" layoutInCell="0" relativeHeight="236700">
          <wp:simplePos x="0" y="0"/>
          <wp:positionH relativeFrom="page">
            <wp:posOffset>432000</wp:posOffset>
          </wp:positionH>
          <wp:positionV relativeFrom="page">
            <wp:posOffset>432000</wp:posOffset>
          </wp:positionV>
          <wp:extent cx="1080000" cy="236700"/>
          <wp:effectExtent t="0" r="0" b="0" l="0"/>
          <wp:wrapNone/>
          <wp:docPr id="1" name="logotipo-compacto" descr="Logotipo compacto MERIDIAN a una tinta azul" title="MERIDI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23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1" layoutInCell="0" relativeHeight="8438400">
          <wp:simplePos x="0" y="0"/>
          <wp:positionH relativeFrom="page">
            <wp:posOffset>512550</wp:posOffset>
          </wp:positionH>
          <wp:positionV relativeFrom="page">
            <wp:posOffset>864000</wp:posOffset>
          </wp:positionV>
          <wp:extent cx="18000" cy="8438400"/>
          <wp:effectExtent t="0" r="0" b="0" l="0"/>
          <wp:wrapNone/>
          <wp:docPr id="2" name="linea-meridiana" descr="Línea vertical ámbar de marca" title="Línea merid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" cy="84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arlow SemiBold" w:cs="Barlow SemiBold" w:eastAsia="Barlow SemiBold" w:hAnsi="Barlow SemiBold"/>
        <w:b/>
        <w:bCs/>
        <w:color w:val="0B2545"/>
        <w:sz w:val="22"/>
        <w:szCs w:val="22"/>
      </w:rPr>
      <w:t xml:space="preserve">Informe mensual de actividades</w:t>
    </w:r>
  </w:p>
  <w:p>
    <w:pPr>
      <w:pBdr>
        <w:bottom w:val="single" w:color="0B2545" w:sz="6" w:space="3"/>
      </w:pBdr>
      <w:spacing w:after="60" w:before="0" w:line="220" w:lineRule="exact"/>
      <w:ind w:left="-1077"/>
      <w:jc w:val="right"/>
    </w:pPr>
    <w:r>
      <w:rPr>
        <w:color w:val="5A6673"/>
        <w:sz w:val="17"/>
        <w:szCs w:val="17"/>
      </w:rPr>
      <w:t xml:space="preserve">MER-INF-2026-001 · Rev. 0 · Noviembre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arlow" w:cs="Barlow" w:eastAsia="Barlow" w:hAnsi="Barlow"/>
        <w:color w:val="17212B"/>
        <w:sz w:val="21"/>
        <w:szCs w:val="21"/>
      </w:rPr>
    </w:rPrDefault>
    <w:pPrDefault>
      <w:pPr>
        <w:spacing w:after="140" w:line="28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60" w:line="400" w:lineRule="exact"/>
    </w:pPr>
    <w:rPr>
      <w:rFonts w:ascii="Barlow Semi Condensed SemiBold" w:cs="Barlow Semi Condensed SemiBold" w:eastAsia="Barlow Semi Condensed SemiBold" w:hAnsi="Barlow Semi Condensed SemiBold"/>
      <w:b/>
      <w:bCs/>
      <w:color w:val="0B254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40" w:line="320" w:lineRule="exact"/>
    </w:pPr>
    <w:rPr>
      <w:rFonts w:ascii="Barlow SemiBold" w:cs="Barlow SemiBold" w:eastAsia="Barlow SemiBold" w:hAnsi="Barlow SemiBold"/>
      <w:b/>
      <w:bCs/>
      <w:color w:val="0B2545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uloFrontal">
    <w:name w:val="Título sin numerar"/>
    <w:basedOn w:val="Normal"/>
    <w:next w:val="Normal"/>
    <w:qFormat/>
    <w:pPr>
      <w:keepNext/>
      <w:spacing w:after="160" w:before="120" w:line="400" w:lineRule="exact"/>
    </w:pPr>
    <w:rPr>
      <w:rFonts w:ascii="Barlow Semi Condensed SemiBold" w:cs="Barlow Semi Condensed SemiBold" w:eastAsia="Barlow Semi Condensed SemiBold" w:hAnsi="Barlow Semi Condensed SemiBold"/>
      <w:b/>
      <w:bCs/>
      <w:color w:val="0B2545"/>
      <w:sz w:val="32"/>
      <w:szCs w:val="32"/>
    </w:rPr>
  </w:style>
  <w:style w:type="paragraph" w:styleId="TituloPortada">
    <w:name w:val="Portada - título"/>
    <w:basedOn w:val="Normal"/>
    <w:next w:val="SubtituloPortada"/>
    <w:qFormat/>
    <w:pPr>
      <w:spacing w:after="120" w:before="3969" w:line="640" w:lineRule="exact"/>
    </w:pPr>
    <w:rPr>
      <w:rFonts w:ascii="Barlow Semi Condensed SemiBold" w:cs="Barlow Semi Condensed SemiBold" w:eastAsia="Barlow Semi Condensed SemiBold" w:hAnsi="Barlow Semi Condensed SemiBold"/>
      <w:b/>
      <w:bCs/>
      <w:color w:val="0B2545"/>
      <w:sz w:val="56"/>
      <w:szCs w:val="56"/>
    </w:rPr>
  </w:style>
  <w:style w:type="paragraph" w:styleId="SubtituloPortada">
    <w:name w:val="Portada - subtítulo"/>
    <w:basedOn w:val="Normal"/>
    <w:next w:val="Normal"/>
    <w:qFormat/>
    <w:pPr>
      <w:spacing w:after="1020" w:before="0" w:line="320" w:lineRule="exact"/>
    </w:pPr>
    <w:rPr>
      <w:color w:val="5A6673"/>
      <w:sz w:val="24"/>
      <w:szCs w:val="24"/>
    </w:rPr>
  </w:style>
  <w:style w:type="paragraph" w:styleId="RotuloPortada">
    <w:name w:val="Portada - rótulo"/>
    <w:basedOn w:val="Normal"/>
    <w:next w:val="Normal"/>
    <w:pPr>
      <w:spacing w:after="0" w:before="0" w:line="240" w:lineRule="exact"/>
    </w:pPr>
    <w:rPr>
      <w:rFonts w:ascii="Barlow SemiBold" w:cs="Barlow SemiBold" w:eastAsia="Barlow SemiBold" w:hAnsi="Barlow SemiBold"/>
      <w:b/>
      <w:bCs/>
      <w:color w:val="5A6673"/>
      <w:spacing w:val="25"/>
      <w:sz w:val="15"/>
      <w:szCs w:val="15"/>
    </w:rPr>
  </w:style>
  <w:style w:type="paragraph" w:styleId="ValorPortada">
    <w:name w:val="Portada - valor"/>
    <w:basedOn w:val="Normal"/>
    <w:next w:val="Normal"/>
    <w:pPr>
      <w:spacing w:after="0" w:before="0" w:line="280" w:lineRule="exact"/>
    </w:pPr>
    <w:rPr>
      <w:color w:val="17212B"/>
      <w:sz w:val="21"/>
      <w:szCs w:val="21"/>
    </w:rPr>
  </w:style>
  <w:style w:type="paragraph" w:styleId="TextoTabla">
    <w:name w:val="Texto de tabla"/>
    <w:basedOn w:val="Normal"/>
    <w:next w:val="TextoTabla"/>
    <w:qFormat/>
    <w:pPr>
      <w:spacing w:after="0" w:before="0" w:line="240" w:lineRule="exact"/>
    </w:pPr>
    <w:rPr>
      <w:sz w:val="18"/>
      <w:szCs w:val="18"/>
    </w:rPr>
  </w:style>
  <w:style w:type="paragraph" w:styleId="Leyenda">
    <w:name w:val="Leyenda"/>
    <w:basedOn w:val="Normal"/>
    <w:next w:val="Normal"/>
    <w:qFormat/>
    <w:pPr>
      <w:spacing w:after="200" w:before="80" w:line="220" w:lineRule="exact"/>
    </w:pPr>
    <w:rPr>
      <w:color w:val="5A6673"/>
      <w:sz w:val="16"/>
      <w:szCs w:val="16"/>
    </w:rPr>
  </w:style>
  <w:style w:type="paragraph" w:styleId="NotaRotulo">
    <w:name w:val="Nota - rótulo"/>
    <w:basedOn w:val="Normal"/>
    <w:next w:val="Nota"/>
    <w:qFormat/>
    <w:pPr>
      <w:keepNext/>
      <w:pBdr>
        <w:top w:val="single" w:color="FDF1CF" w:sz="8" w:space="6"/>
        <w:left w:val="single" w:color="FDF1CF" w:sz="8" w:space="6"/>
        <w:bottom w:val="single" w:color="FDF1CF" w:sz="8" w:space="6"/>
        <w:right w:val="single" w:color="FDF1CF" w:sz="8" w:space="6"/>
      </w:pBdr>
      <w:shd w:fill="FDF1CF" w:color="auto" w:val="clear"/>
      <w:spacing w:after="40" w:before="120" w:line="200" w:lineRule="exact"/>
    </w:pPr>
    <w:rPr>
      <w:rFonts w:ascii="Barlow SemiBold" w:cs="Barlow SemiBold" w:eastAsia="Barlow SemiBold" w:hAnsi="Barlow SemiBold"/>
      <w:b/>
      <w:bCs/>
      <w:color w:val="8F5E00"/>
      <w:spacing w:val="30"/>
      <w:sz w:val="14"/>
      <w:szCs w:val="14"/>
    </w:rPr>
  </w:style>
  <w:style w:type="paragraph" w:styleId="Nota">
    <w:name w:val="Nota"/>
    <w:basedOn w:val="Normal"/>
    <w:next w:val="Normal"/>
    <w:qFormat/>
    <w:pPr>
      <w:pBdr>
        <w:top w:val="single" w:color="FDF1CF" w:sz="8" w:space="6"/>
        <w:left w:val="single" w:color="FDF1CF" w:sz="8" w:space="6"/>
        <w:bottom w:val="single" w:color="FDF1CF" w:sz="8" w:space="6"/>
        <w:right w:val="single" w:color="FDF1CF" w:sz="8" w:space="6"/>
      </w:pBdr>
      <w:shd w:fill="FDF1CF" w:color="auto" w:val="clear"/>
      <w:spacing w:after="200" w:before="0" w:line="260" w:lineRule="exact"/>
    </w:pPr>
    <w:rPr>
      <w:sz w:val="19"/>
      <w:szCs w:val="19"/>
    </w:rPr>
  </w:style>
  <w:style w:type="paragraph" w:styleId="PieMeridian">
    <w:name w:val="Pie MERIDIAN"/>
    <w:basedOn w:val="Normal"/>
    <w:next w:val="PieMeridian"/>
    <w:pPr>
      <w:spacing w:after="0" w:before="0" w:line="220" w:lineRule="exact"/>
    </w:pPr>
    <w:rPr>
      <w:color w:val="5A6673"/>
      <w:sz w:val="15"/>
      <w:szCs w:val="15"/>
    </w:rPr>
  </w:style>
  <w:style w:type="paragraph" w:styleId="TOC1">
    <w:name w:val="toc 1"/>
    <w:basedOn w:val="Normal"/>
    <w:next w:val="Normal"/>
    <w:pPr>
      <w:tabs>
        <w:tab w:val="right" w:pos="9462" w:leader="dot"/>
      </w:tabs>
      <w:spacing w:after="40" w:before="80"/>
    </w:pPr>
    <w:rPr>
      <w:rFonts w:ascii="Barlow SemiBold" w:cs="Barlow SemiBold" w:eastAsia="Barlow SemiBold" w:hAnsi="Barlow SemiBold"/>
      <w:b/>
      <w:bCs/>
      <w:color w:val="0B2545"/>
    </w:rPr>
  </w:style>
  <w:style w:type="paragraph" w:styleId="TOC2">
    <w:name w:val="toc 2"/>
    <w:basedOn w:val="Normal"/>
    <w:next w:val="Normal"/>
    <w:pPr>
      <w:tabs>
        <w:tab w:val="right" w:pos="9462" w:leader="dot"/>
      </w:tabs>
      <w:spacing w:after="40" w:before="0"/>
      <w:ind w:left="340"/>
    </w:pPr>
    <w:rPr>
      <w:color w:val="17212B"/>
    </w:rPr>
  </w:style>
  <w:style w:type="character" w:styleId="EstadoConforme">
    <w:name w:val="Estado conforme"/>
    <w:uiPriority w:val="99"/>
    <w:unhideWhenUsed/>
    <w:rPr>
      <w:rFonts w:ascii="Barlow SemiBold" w:cs="Barlow SemiBold" w:eastAsia="Barlow SemiBold" w:hAnsi="Barlow SemiBold"/>
      <w:b/>
      <w:bCs/>
      <w:color w:val="0E7490"/>
    </w:rPr>
  </w:style>
  <w:style w:type="character" w:styleId="EstadoObservacion">
    <w:name w:val="Estado observación"/>
    <w:uiPriority w:val="99"/>
    <w:unhideWhenUsed/>
    <w:rPr>
      <w:rFonts w:ascii="Barlow SemiBold" w:cs="Barlow SemiBold" w:eastAsia="Barlow SemiBold" w:hAnsi="Barlow SemiBold"/>
      <w:b/>
      <w:bCs/>
      <w:color w:val="8F5E00"/>
    </w:rPr>
  </w:style>
  <w:style w:type="character" w:styleId="EstadoNoConforme">
    <w:name w:val="Estado no conforme"/>
    <w:uiPriority w:val="99"/>
    <w:unhideWhenUsed/>
    <w:rPr>
      <w:rFonts w:ascii="Barlow SemiBold" w:cs="Barlow SemiBold" w:eastAsia="Barlow SemiBold" w:hAnsi="Barlow SemiBold"/>
      <w:b/>
      <w:bCs/>
      <w:color w:val="C4262E"/>
    </w:rPr>
  </w:style>
  <w:style w:type="table" w:styleId="TablaMERIDIAN">
    <w:name w:val="Tabla MERIDIAN"/>
    <w:basedOn w:val="TableNormal"/>
    <w:uiPriority w:val="40"/>
    <w:qFormat/>
    <w:pPr>
      <w:spacing w:before="0" w:after="0" w:line="240" w:lineRule="auto"/>
    </w:pPr>
    <w:rPr>
      <w:rFonts w:ascii="Barlow" w:hAnsi="Barlow" w:cs="Barlow"/>
      <w:color w:val="17212B"/>
      <w:sz w:val="18"/>
      <w:szCs w:val="18"/>
    </w:rPr>
    <w:tblPr>
      <w:tblBorders>
        <w:top w:val="nil"/>
        <w:left w:val="nil"/>
        <w:bottom w:val="single" w:sz="4" w:space="0" w:color="D3D9E0"/>
        <w:right w:val="nil"/>
        <w:insideH w:val="single" w:sz="4" w:space="0" w:color="D3D9E0"/>
        <w:insideV w:val="nil"/>
      </w:tblBorders>
      <w:tblCellMar>
        <w:top w:w="85" w:type="dxa"/>
        <w:left w:w="113" w:type="dxa"/>
        <w:bottom w:w="85" w:type="dxa"/>
        <w:right w:w="113" w:type="dxa"/>
      </w:tblCellMar>
    </w:tblPr>
    <w:tblStylePr w:type="firstRow">
      <w:rPr>
        <w:rFonts w:ascii="Barlow SemiBold" w:hAnsi="Barlow SemiBold" w:cs="Barlow SemiBold"/>
        <w:b/>
        <w:color w:val="0B2545"/>
      </w:rPr>
      <w:tblPr/>
      <w:tcPr>
        <w:shd w:val="clear" w:color="auto" w:fill="EEF3F8"/>
      </w:tcPr>
    </w:tblStyle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6c438802bd47b96476d6aaee90a3d898b8ce7e1.png"/><Relationship Id="rId1" Type="http://schemas.openxmlformats.org/officeDocument/2006/relationships/image" Target="media/8806ec3a19f27ab5ec2b889eda33a38cbf7f520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técnico MERIDIAN</dc:title>
  <dc:creator>MERIDIAN Supply &amp; Services</dc:creator>
  <dc:description>Plantilla de informe técnico. Fuentes: Barlow / Barlow Semi Condensed (respaldo: Arial / Arial Narrow).</dc:description>
  <cp:lastModifiedBy>Un-named</cp:lastModifiedBy>
  <cp:revision>1</cp:revision>
  <dcterms:created xsi:type="dcterms:W3CDTF">2026-11-02T19:01:30.310Z</dcterms:created>
  <dcterms:modified xsi:type="dcterms:W3CDTF">2026-11-02T19:01:30.310Z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